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D4" w:rsidRDefault="000E5710" w:rsidP="00182C87">
      <w:pPr>
        <w:jc w:val="center"/>
      </w:pPr>
      <w:bookmarkStart w:id="0" w:name="_GoBack"/>
      <w:bookmarkEnd w:id="0"/>
      <w:r>
        <w:t xml:space="preserve">PM </w:t>
      </w:r>
      <w:proofErr w:type="spellStart"/>
      <w:r>
        <w:t>o</w:t>
      </w:r>
      <w:r w:rsidR="00182C87">
        <w:t>rbitalt</w:t>
      </w:r>
      <w:proofErr w:type="spellEnd"/>
      <w:r w:rsidR="00182C87">
        <w:t xml:space="preserve"> </w:t>
      </w:r>
      <w:proofErr w:type="spellStart"/>
      <w:r w:rsidR="00182C87">
        <w:t>xantogranulom</w:t>
      </w:r>
      <w:proofErr w:type="spellEnd"/>
      <w:r w:rsidR="00182C87">
        <w:t xml:space="preserve"> hos vuxna</w:t>
      </w:r>
    </w:p>
    <w:p w:rsidR="00A467E8" w:rsidRDefault="00A467E8" w:rsidP="00097262">
      <w:pPr>
        <w:pStyle w:val="Ingetavstnd"/>
        <w:rPr>
          <w:sz w:val="24"/>
          <w:szCs w:val="24"/>
        </w:rPr>
      </w:pPr>
    </w:p>
    <w:p w:rsidR="00296FE4" w:rsidRDefault="00296FE4" w:rsidP="00097262">
      <w:pPr>
        <w:pStyle w:val="Ingetavstnd"/>
        <w:rPr>
          <w:sz w:val="24"/>
          <w:szCs w:val="24"/>
        </w:rPr>
      </w:pPr>
    </w:p>
    <w:p w:rsidR="00097262" w:rsidRPr="00296FE4" w:rsidRDefault="00182C87" w:rsidP="00097262">
      <w:pPr>
        <w:pStyle w:val="Ingetavstnd"/>
        <w:rPr>
          <w:sz w:val="24"/>
          <w:szCs w:val="24"/>
        </w:rPr>
      </w:pPr>
      <w:proofErr w:type="spellStart"/>
      <w:r w:rsidRPr="00296FE4">
        <w:rPr>
          <w:sz w:val="24"/>
          <w:szCs w:val="24"/>
        </w:rPr>
        <w:t>Orbitalt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xant</w:t>
      </w:r>
      <w:r w:rsidR="00754AD4" w:rsidRPr="00296FE4">
        <w:rPr>
          <w:sz w:val="24"/>
          <w:szCs w:val="24"/>
        </w:rPr>
        <w:t>ogranulom</w:t>
      </w:r>
      <w:proofErr w:type="spellEnd"/>
      <w:r w:rsidR="00754AD4" w:rsidRPr="00296FE4">
        <w:rPr>
          <w:sz w:val="24"/>
          <w:szCs w:val="24"/>
        </w:rPr>
        <w:t xml:space="preserve"> som debuterar i vuxen ålder ger symtom i form av lokal palpabel ofta gulaktig svullnad i ett eller flera ögonlock med eller utan </w:t>
      </w:r>
      <w:r w:rsidR="00EE1A48" w:rsidRPr="00296FE4">
        <w:rPr>
          <w:sz w:val="24"/>
          <w:szCs w:val="24"/>
        </w:rPr>
        <w:t>intra</w:t>
      </w:r>
      <w:r w:rsidR="00754AD4" w:rsidRPr="00296FE4">
        <w:rPr>
          <w:sz w:val="24"/>
          <w:szCs w:val="24"/>
        </w:rPr>
        <w:t xml:space="preserve">orbital spridning. Ögonlockssvullnaden kan vara ett isolerat fenomen eller associerad med systemisk sjukdom. </w:t>
      </w:r>
    </w:p>
    <w:p w:rsidR="00754AD4" w:rsidRPr="00296FE4" w:rsidRDefault="002E3819" w:rsidP="00097262">
      <w:pPr>
        <w:pStyle w:val="Ingetavstnd"/>
        <w:rPr>
          <w:sz w:val="24"/>
          <w:szCs w:val="24"/>
        </w:rPr>
      </w:pPr>
      <w:proofErr w:type="spellStart"/>
      <w:r w:rsidRPr="00296FE4">
        <w:rPr>
          <w:sz w:val="24"/>
          <w:szCs w:val="24"/>
        </w:rPr>
        <w:t>O</w:t>
      </w:r>
      <w:r w:rsidR="00754AD4" w:rsidRPr="00296FE4">
        <w:rPr>
          <w:sz w:val="24"/>
          <w:szCs w:val="24"/>
        </w:rPr>
        <w:t>rbitalt</w:t>
      </w:r>
      <w:proofErr w:type="spellEnd"/>
      <w:r w:rsidR="00754AD4" w:rsidRPr="00296FE4">
        <w:rPr>
          <w:sz w:val="24"/>
          <w:szCs w:val="24"/>
        </w:rPr>
        <w:t xml:space="preserve"> </w:t>
      </w:r>
      <w:proofErr w:type="spellStart"/>
      <w:r w:rsidR="00754AD4" w:rsidRPr="00296FE4">
        <w:rPr>
          <w:sz w:val="24"/>
          <w:szCs w:val="24"/>
        </w:rPr>
        <w:t>xantogranulom</w:t>
      </w:r>
      <w:proofErr w:type="spellEnd"/>
      <w:r w:rsidR="00754AD4" w:rsidRPr="00296FE4">
        <w:rPr>
          <w:sz w:val="24"/>
          <w:szCs w:val="24"/>
        </w:rPr>
        <w:t xml:space="preserve"> hos vuxna </w:t>
      </w:r>
      <w:r w:rsidRPr="00296FE4">
        <w:rPr>
          <w:sz w:val="24"/>
          <w:szCs w:val="24"/>
        </w:rPr>
        <w:t xml:space="preserve">delas in </w:t>
      </w:r>
      <w:r w:rsidR="00754AD4" w:rsidRPr="00296FE4">
        <w:rPr>
          <w:sz w:val="24"/>
          <w:szCs w:val="24"/>
        </w:rPr>
        <w:t>i fyra grupper:</w:t>
      </w:r>
    </w:p>
    <w:p w:rsidR="00EE1A48" w:rsidRPr="00296FE4" w:rsidRDefault="00EE1A48" w:rsidP="00097262">
      <w:pPr>
        <w:pStyle w:val="Ingetavstnd"/>
        <w:rPr>
          <w:sz w:val="24"/>
          <w:szCs w:val="24"/>
        </w:rPr>
      </w:pPr>
    </w:p>
    <w:p w:rsidR="00754AD4" w:rsidRPr="00296FE4" w:rsidRDefault="00754AD4" w:rsidP="00097262">
      <w:pPr>
        <w:pStyle w:val="Ingetavstnd"/>
        <w:rPr>
          <w:sz w:val="24"/>
          <w:szCs w:val="24"/>
        </w:rPr>
      </w:pPr>
      <w:r w:rsidRPr="00296FE4">
        <w:rPr>
          <w:b/>
          <w:sz w:val="24"/>
          <w:szCs w:val="24"/>
        </w:rPr>
        <w:t>AOX</w:t>
      </w:r>
      <w:r w:rsidRPr="00296FE4">
        <w:rPr>
          <w:sz w:val="24"/>
          <w:szCs w:val="24"/>
        </w:rPr>
        <w:t xml:space="preserve"> </w:t>
      </w:r>
      <w:r w:rsidR="00097262" w:rsidRPr="00296FE4">
        <w:rPr>
          <w:sz w:val="24"/>
          <w:szCs w:val="24"/>
        </w:rPr>
        <w:tab/>
      </w:r>
      <w:r w:rsidRPr="00296FE4">
        <w:rPr>
          <w:sz w:val="24"/>
          <w:szCs w:val="24"/>
        </w:rPr>
        <w:t xml:space="preserve">(Adult </w:t>
      </w:r>
      <w:proofErr w:type="spellStart"/>
      <w:r w:rsidRPr="00296FE4">
        <w:rPr>
          <w:sz w:val="24"/>
          <w:szCs w:val="24"/>
        </w:rPr>
        <w:t>Onset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Xanthogranuloma</w:t>
      </w:r>
      <w:proofErr w:type="spellEnd"/>
      <w:r w:rsidRPr="00296FE4">
        <w:rPr>
          <w:sz w:val="24"/>
          <w:szCs w:val="24"/>
        </w:rPr>
        <w:t xml:space="preserve">) är isolerat </w:t>
      </w:r>
      <w:proofErr w:type="spellStart"/>
      <w:r w:rsidRPr="00296FE4">
        <w:rPr>
          <w:sz w:val="24"/>
          <w:szCs w:val="24"/>
        </w:rPr>
        <w:t>orbitalt</w:t>
      </w:r>
      <w:proofErr w:type="spellEnd"/>
      <w:r w:rsidRPr="00296FE4">
        <w:rPr>
          <w:sz w:val="24"/>
          <w:szCs w:val="24"/>
        </w:rPr>
        <w:t xml:space="preserve"> XG</w:t>
      </w:r>
    </w:p>
    <w:p w:rsidR="00754AD4" w:rsidRPr="00296FE4" w:rsidRDefault="00754AD4" w:rsidP="00097262">
      <w:pPr>
        <w:pStyle w:val="Ingetavstnd"/>
        <w:ind w:left="1304" w:hanging="1304"/>
        <w:rPr>
          <w:sz w:val="24"/>
          <w:szCs w:val="24"/>
        </w:rPr>
      </w:pPr>
      <w:r w:rsidRPr="00296FE4">
        <w:rPr>
          <w:b/>
          <w:sz w:val="24"/>
          <w:szCs w:val="24"/>
        </w:rPr>
        <w:t>AAPOX</w:t>
      </w:r>
      <w:r w:rsidRPr="00296FE4">
        <w:rPr>
          <w:sz w:val="24"/>
          <w:szCs w:val="24"/>
        </w:rPr>
        <w:t xml:space="preserve"> </w:t>
      </w:r>
      <w:r w:rsidR="00097262" w:rsidRPr="00296FE4">
        <w:rPr>
          <w:sz w:val="24"/>
          <w:szCs w:val="24"/>
        </w:rPr>
        <w:tab/>
      </w:r>
      <w:r w:rsidRPr="00296FE4">
        <w:rPr>
          <w:sz w:val="24"/>
          <w:szCs w:val="24"/>
        </w:rPr>
        <w:t xml:space="preserve">(Adult </w:t>
      </w:r>
      <w:proofErr w:type="spellStart"/>
      <w:r w:rsidRPr="00296FE4">
        <w:rPr>
          <w:sz w:val="24"/>
          <w:szCs w:val="24"/>
        </w:rPr>
        <w:t>Onset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Asthma</w:t>
      </w:r>
      <w:proofErr w:type="spellEnd"/>
      <w:r w:rsidRPr="00296FE4">
        <w:rPr>
          <w:sz w:val="24"/>
          <w:szCs w:val="24"/>
        </w:rPr>
        <w:t xml:space="preserve"> and </w:t>
      </w:r>
      <w:proofErr w:type="spellStart"/>
      <w:r w:rsidRPr="00296FE4">
        <w:rPr>
          <w:sz w:val="24"/>
          <w:szCs w:val="24"/>
        </w:rPr>
        <w:t>Periocular</w:t>
      </w:r>
      <w:proofErr w:type="spellEnd"/>
      <w:r w:rsidRPr="00296FE4">
        <w:rPr>
          <w:sz w:val="24"/>
          <w:szCs w:val="24"/>
        </w:rPr>
        <w:t xml:space="preserve"> XG) är associerat med astma, rinit, sinuit och ibland eksemlika hudutslag och lymfkörtelförstoring.</w:t>
      </w:r>
    </w:p>
    <w:p w:rsidR="00754AD4" w:rsidRPr="00296FE4" w:rsidRDefault="00754AD4" w:rsidP="00097262">
      <w:pPr>
        <w:pStyle w:val="Ingetavstnd"/>
        <w:ind w:left="1304" w:hanging="1304"/>
        <w:rPr>
          <w:sz w:val="24"/>
          <w:szCs w:val="24"/>
        </w:rPr>
      </w:pPr>
      <w:r w:rsidRPr="00296FE4">
        <w:rPr>
          <w:b/>
          <w:sz w:val="24"/>
          <w:szCs w:val="24"/>
        </w:rPr>
        <w:t xml:space="preserve">NBX </w:t>
      </w:r>
      <w:r w:rsidR="00097262" w:rsidRPr="00296FE4">
        <w:rPr>
          <w:b/>
          <w:sz w:val="24"/>
          <w:szCs w:val="24"/>
        </w:rPr>
        <w:tab/>
      </w:r>
      <w:r w:rsidRPr="00296FE4">
        <w:rPr>
          <w:sz w:val="24"/>
          <w:szCs w:val="24"/>
        </w:rPr>
        <w:t>(</w:t>
      </w:r>
      <w:proofErr w:type="spellStart"/>
      <w:r w:rsidRPr="00296FE4">
        <w:rPr>
          <w:sz w:val="24"/>
          <w:szCs w:val="24"/>
        </w:rPr>
        <w:t>Nekrobiotiskt</w:t>
      </w:r>
      <w:proofErr w:type="spellEnd"/>
      <w:r w:rsidRPr="00296FE4">
        <w:rPr>
          <w:sz w:val="24"/>
          <w:szCs w:val="24"/>
        </w:rPr>
        <w:t xml:space="preserve"> XG) aggressivare form som så småningom uppvisar nekros av granulomet, hudutslag och även systemisk organpåverkan.</w:t>
      </w:r>
    </w:p>
    <w:p w:rsidR="00754AD4" w:rsidRPr="00296FE4" w:rsidRDefault="00754AD4" w:rsidP="00097262">
      <w:pPr>
        <w:pStyle w:val="Ingetavstnd"/>
        <w:ind w:left="1304" w:hanging="1304"/>
        <w:rPr>
          <w:sz w:val="24"/>
          <w:szCs w:val="24"/>
        </w:rPr>
      </w:pPr>
      <w:r w:rsidRPr="00296FE4">
        <w:rPr>
          <w:b/>
          <w:sz w:val="24"/>
          <w:szCs w:val="24"/>
        </w:rPr>
        <w:t>ECD</w:t>
      </w:r>
      <w:r w:rsidRPr="00296FE4">
        <w:rPr>
          <w:sz w:val="24"/>
          <w:szCs w:val="24"/>
        </w:rPr>
        <w:t xml:space="preserve"> </w:t>
      </w:r>
      <w:r w:rsidR="00097262" w:rsidRPr="00296FE4">
        <w:rPr>
          <w:sz w:val="24"/>
          <w:szCs w:val="24"/>
        </w:rPr>
        <w:tab/>
      </w:r>
      <w:r w:rsidRPr="00296FE4">
        <w:rPr>
          <w:sz w:val="24"/>
          <w:szCs w:val="24"/>
        </w:rPr>
        <w:t>(</w:t>
      </w:r>
      <w:proofErr w:type="spellStart"/>
      <w:r w:rsidRPr="00296FE4">
        <w:rPr>
          <w:sz w:val="24"/>
          <w:szCs w:val="24"/>
        </w:rPr>
        <w:t>Erdheim</w:t>
      </w:r>
      <w:proofErr w:type="spellEnd"/>
      <w:r w:rsidRPr="00296FE4">
        <w:rPr>
          <w:sz w:val="24"/>
          <w:szCs w:val="24"/>
        </w:rPr>
        <w:t xml:space="preserve"> Chester </w:t>
      </w:r>
      <w:proofErr w:type="spellStart"/>
      <w:r w:rsidRPr="00296FE4">
        <w:rPr>
          <w:sz w:val="24"/>
          <w:szCs w:val="24"/>
        </w:rPr>
        <w:t>Disease</w:t>
      </w:r>
      <w:proofErr w:type="spellEnd"/>
      <w:r w:rsidRPr="00296FE4">
        <w:rPr>
          <w:sz w:val="24"/>
          <w:szCs w:val="24"/>
        </w:rPr>
        <w:t xml:space="preserve">) uppvisar fibros av hjärta, lungor, skelett och även </w:t>
      </w:r>
      <w:proofErr w:type="spellStart"/>
      <w:r w:rsidRPr="00296FE4">
        <w:rPr>
          <w:sz w:val="24"/>
          <w:szCs w:val="24"/>
        </w:rPr>
        <w:t>retroperitoneal</w:t>
      </w:r>
      <w:proofErr w:type="spellEnd"/>
      <w:r w:rsidRPr="00296FE4">
        <w:rPr>
          <w:sz w:val="24"/>
          <w:szCs w:val="24"/>
        </w:rPr>
        <w:t xml:space="preserve"> fibros.</w:t>
      </w:r>
    </w:p>
    <w:p w:rsidR="00296FE4" w:rsidRDefault="00296FE4" w:rsidP="00097262">
      <w:pPr>
        <w:pStyle w:val="Ingetavstnd"/>
        <w:rPr>
          <w:sz w:val="24"/>
          <w:szCs w:val="24"/>
        </w:rPr>
      </w:pPr>
    </w:p>
    <w:p w:rsidR="00754AD4" w:rsidRPr="00296FE4" w:rsidRDefault="00754AD4" w:rsidP="00097262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>Utredningen sy</w:t>
      </w:r>
      <w:r w:rsidR="00182C87" w:rsidRPr="00296FE4">
        <w:rPr>
          <w:sz w:val="24"/>
          <w:szCs w:val="24"/>
        </w:rPr>
        <w:t xml:space="preserve">ftar till att kategorisera </w:t>
      </w:r>
      <w:proofErr w:type="spellStart"/>
      <w:r w:rsidR="00182C87" w:rsidRPr="00296FE4">
        <w:rPr>
          <w:sz w:val="24"/>
          <w:szCs w:val="24"/>
        </w:rPr>
        <w:t>xant</w:t>
      </w:r>
      <w:r w:rsidRPr="00296FE4">
        <w:rPr>
          <w:sz w:val="24"/>
          <w:szCs w:val="24"/>
        </w:rPr>
        <w:t>ogranulomet</w:t>
      </w:r>
      <w:proofErr w:type="spellEnd"/>
      <w:r w:rsidRPr="00296FE4">
        <w:rPr>
          <w:sz w:val="24"/>
          <w:szCs w:val="24"/>
        </w:rPr>
        <w:t xml:space="preserve"> och kartlägga eventuellt systemiskt engagemang innan man går vidare med behandlingen.</w:t>
      </w:r>
    </w:p>
    <w:p w:rsidR="009227B5" w:rsidRPr="00296FE4" w:rsidRDefault="009227B5" w:rsidP="00097262">
      <w:pPr>
        <w:pStyle w:val="Ingetavstnd"/>
        <w:ind w:left="1304" w:hanging="1304"/>
        <w:rPr>
          <w:b/>
          <w:sz w:val="24"/>
          <w:szCs w:val="24"/>
        </w:rPr>
      </w:pPr>
    </w:p>
    <w:p w:rsidR="00CC3E5E" w:rsidRPr="00296FE4" w:rsidRDefault="00754AD4" w:rsidP="00097262">
      <w:pPr>
        <w:pStyle w:val="Ingetavstnd"/>
        <w:ind w:left="1304" w:hanging="1304"/>
        <w:rPr>
          <w:sz w:val="24"/>
          <w:szCs w:val="24"/>
        </w:rPr>
      </w:pPr>
      <w:r w:rsidRPr="00296FE4">
        <w:rPr>
          <w:b/>
          <w:sz w:val="24"/>
          <w:szCs w:val="24"/>
        </w:rPr>
        <w:t>Ögonstatus</w:t>
      </w:r>
      <w:r w:rsidR="00296FE4">
        <w:rPr>
          <w:b/>
          <w:sz w:val="24"/>
          <w:szCs w:val="24"/>
        </w:rPr>
        <w:t>:</w:t>
      </w:r>
      <w:r w:rsidR="00182C87" w:rsidRPr="00296FE4">
        <w:rPr>
          <w:b/>
          <w:sz w:val="24"/>
          <w:szCs w:val="24"/>
        </w:rPr>
        <w:tab/>
      </w:r>
      <w:r w:rsidRPr="00296FE4">
        <w:rPr>
          <w:sz w:val="24"/>
          <w:szCs w:val="24"/>
        </w:rPr>
        <w:t xml:space="preserve">Kommentera svullnad </w:t>
      </w:r>
      <w:proofErr w:type="spellStart"/>
      <w:r w:rsidRPr="00296FE4">
        <w:rPr>
          <w:sz w:val="24"/>
          <w:szCs w:val="24"/>
        </w:rPr>
        <w:t>uni</w:t>
      </w:r>
      <w:proofErr w:type="spellEnd"/>
      <w:r w:rsidRPr="00296FE4">
        <w:rPr>
          <w:sz w:val="24"/>
          <w:szCs w:val="24"/>
        </w:rPr>
        <w:t xml:space="preserve">-/bilateralt, </w:t>
      </w:r>
      <w:proofErr w:type="spellStart"/>
      <w:r w:rsidRPr="00296FE4">
        <w:rPr>
          <w:sz w:val="24"/>
          <w:szCs w:val="24"/>
        </w:rPr>
        <w:t>visus</w:t>
      </w:r>
      <w:proofErr w:type="spellEnd"/>
      <w:r w:rsidRPr="00296FE4">
        <w:rPr>
          <w:sz w:val="24"/>
          <w:szCs w:val="24"/>
        </w:rPr>
        <w:t xml:space="preserve">, tryck, </w:t>
      </w:r>
      <w:proofErr w:type="spellStart"/>
      <w:r w:rsidR="00CC3E5E" w:rsidRPr="00296FE4">
        <w:rPr>
          <w:sz w:val="24"/>
          <w:szCs w:val="24"/>
        </w:rPr>
        <w:t>proptos</w:t>
      </w:r>
      <w:proofErr w:type="spellEnd"/>
      <w:r w:rsidRPr="00296FE4">
        <w:rPr>
          <w:sz w:val="24"/>
          <w:szCs w:val="24"/>
        </w:rPr>
        <w:t xml:space="preserve">, </w:t>
      </w:r>
      <w:proofErr w:type="spellStart"/>
      <w:r w:rsidRPr="00296FE4">
        <w:rPr>
          <w:sz w:val="24"/>
          <w:szCs w:val="24"/>
        </w:rPr>
        <w:t>motilitet</w:t>
      </w:r>
      <w:proofErr w:type="spellEnd"/>
      <w:r w:rsidRPr="00296FE4">
        <w:rPr>
          <w:sz w:val="24"/>
          <w:szCs w:val="24"/>
        </w:rPr>
        <w:t xml:space="preserve">, </w:t>
      </w:r>
      <w:proofErr w:type="spellStart"/>
      <w:r w:rsidRPr="00296FE4">
        <w:rPr>
          <w:sz w:val="24"/>
          <w:szCs w:val="24"/>
        </w:rPr>
        <w:t>ptos</w:t>
      </w:r>
      <w:proofErr w:type="spellEnd"/>
      <w:r w:rsidRPr="00296FE4">
        <w:rPr>
          <w:sz w:val="24"/>
          <w:szCs w:val="24"/>
        </w:rPr>
        <w:t xml:space="preserve">, färgsinne, </w:t>
      </w:r>
      <w:proofErr w:type="spellStart"/>
      <w:r w:rsidRPr="00296FE4">
        <w:rPr>
          <w:sz w:val="24"/>
          <w:szCs w:val="24"/>
        </w:rPr>
        <w:t>tårfunktion</w:t>
      </w:r>
      <w:proofErr w:type="spellEnd"/>
      <w:r w:rsidRPr="00296FE4">
        <w:rPr>
          <w:sz w:val="24"/>
          <w:szCs w:val="24"/>
        </w:rPr>
        <w:t xml:space="preserve">, </w:t>
      </w:r>
      <w:proofErr w:type="spellStart"/>
      <w:r w:rsidRPr="00296FE4">
        <w:rPr>
          <w:sz w:val="24"/>
          <w:szCs w:val="24"/>
        </w:rPr>
        <w:t>irit</w:t>
      </w:r>
      <w:proofErr w:type="spellEnd"/>
      <w:r w:rsidRPr="00296FE4">
        <w:rPr>
          <w:sz w:val="24"/>
          <w:szCs w:val="24"/>
        </w:rPr>
        <w:t xml:space="preserve">, </w:t>
      </w:r>
      <w:proofErr w:type="spellStart"/>
      <w:r w:rsidRPr="00296FE4">
        <w:rPr>
          <w:sz w:val="24"/>
          <w:szCs w:val="24"/>
        </w:rPr>
        <w:t>keratit</w:t>
      </w:r>
      <w:proofErr w:type="spellEnd"/>
      <w:r w:rsidRPr="00296FE4">
        <w:rPr>
          <w:sz w:val="24"/>
          <w:szCs w:val="24"/>
        </w:rPr>
        <w:t xml:space="preserve">, </w:t>
      </w:r>
      <w:proofErr w:type="spellStart"/>
      <w:r w:rsidRPr="00296FE4">
        <w:rPr>
          <w:sz w:val="24"/>
          <w:szCs w:val="24"/>
        </w:rPr>
        <w:t>sklerit</w:t>
      </w:r>
      <w:proofErr w:type="spellEnd"/>
      <w:r w:rsidRPr="00296FE4">
        <w:rPr>
          <w:sz w:val="24"/>
          <w:szCs w:val="24"/>
        </w:rPr>
        <w:t xml:space="preserve">, konjunktivit. </w:t>
      </w:r>
      <w:r w:rsidR="00CC3E5E" w:rsidRPr="00296FE4">
        <w:rPr>
          <w:sz w:val="24"/>
          <w:szCs w:val="24"/>
        </w:rPr>
        <w:t>Fotografera!</w:t>
      </w:r>
    </w:p>
    <w:p w:rsidR="00182C87" w:rsidRPr="00296FE4" w:rsidRDefault="00182C87" w:rsidP="00097262">
      <w:pPr>
        <w:pStyle w:val="Ingetavstnd"/>
        <w:rPr>
          <w:sz w:val="24"/>
          <w:szCs w:val="24"/>
        </w:rPr>
      </w:pPr>
    </w:p>
    <w:p w:rsidR="00754AD4" w:rsidRPr="00296FE4" w:rsidRDefault="00754AD4" w:rsidP="00097262">
      <w:pPr>
        <w:pStyle w:val="Ingetavstnd"/>
        <w:ind w:left="1304" w:hanging="1304"/>
        <w:rPr>
          <w:sz w:val="24"/>
          <w:szCs w:val="24"/>
        </w:rPr>
      </w:pPr>
      <w:r w:rsidRPr="00296FE4">
        <w:rPr>
          <w:b/>
          <w:sz w:val="24"/>
          <w:szCs w:val="24"/>
        </w:rPr>
        <w:t>Biopsi</w:t>
      </w:r>
      <w:r w:rsidR="00296FE4">
        <w:rPr>
          <w:b/>
          <w:sz w:val="24"/>
          <w:szCs w:val="24"/>
        </w:rPr>
        <w:t>:</w:t>
      </w:r>
      <w:r w:rsidR="00182C87" w:rsidRPr="00296FE4">
        <w:rPr>
          <w:b/>
          <w:sz w:val="24"/>
          <w:szCs w:val="24"/>
        </w:rPr>
        <w:tab/>
      </w:r>
      <w:r w:rsidRPr="00296FE4">
        <w:rPr>
          <w:sz w:val="24"/>
          <w:szCs w:val="24"/>
        </w:rPr>
        <w:t xml:space="preserve">Diagnosen </w:t>
      </w:r>
      <w:proofErr w:type="spellStart"/>
      <w:r w:rsidRPr="00296FE4">
        <w:rPr>
          <w:sz w:val="24"/>
          <w:szCs w:val="24"/>
        </w:rPr>
        <w:t>orbitalt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xantogranulom</w:t>
      </w:r>
      <w:proofErr w:type="spellEnd"/>
      <w:r w:rsidRPr="00296FE4">
        <w:rPr>
          <w:sz w:val="24"/>
          <w:szCs w:val="24"/>
        </w:rPr>
        <w:t xml:space="preserve"> ställs på basen av </w:t>
      </w:r>
      <w:proofErr w:type="spellStart"/>
      <w:r w:rsidRPr="00296FE4">
        <w:rPr>
          <w:sz w:val="24"/>
          <w:szCs w:val="24"/>
        </w:rPr>
        <w:t>histopatologisk</w:t>
      </w:r>
      <w:proofErr w:type="spellEnd"/>
      <w:r w:rsidRPr="00296FE4">
        <w:rPr>
          <w:sz w:val="24"/>
          <w:szCs w:val="24"/>
        </w:rPr>
        <w:t xml:space="preserve"> undersökning och det krävs således alltid biopsi! Fråga efter </w:t>
      </w:r>
      <w:proofErr w:type="spellStart"/>
      <w:r w:rsidRPr="00296FE4">
        <w:rPr>
          <w:sz w:val="24"/>
          <w:szCs w:val="24"/>
        </w:rPr>
        <w:t>Toutons</w:t>
      </w:r>
      <w:proofErr w:type="spellEnd"/>
      <w:r w:rsidRPr="00296FE4">
        <w:rPr>
          <w:sz w:val="24"/>
          <w:szCs w:val="24"/>
        </w:rPr>
        <w:t xml:space="preserve"> jätteceller och skumcellsmakrofager. Förekomst av nekros talar för </w:t>
      </w:r>
      <w:proofErr w:type="spellStart"/>
      <w:r w:rsidRPr="00296FE4">
        <w:rPr>
          <w:sz w:val="24"/>
          <w:szCs w:val="24"/>
        </w:rPr>
        <w:t>nekrobiotiskt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xanthogranulom</w:t>
      </w:r>
      <w:proofErr w:type="spellEnd"/>
      <w:r w:rsidRPr="00296FE4">
        <w:rPr>
          <w:sz w:val="24"/>
          <w:szCs w:val="24"/>
        </w:rPr>
        <w:t>. Fibros talar för ECD.</w:t>
      </w:r>
    </w:p>
    <w:p w:rsidR="00296FE4" w:rsidRDefault="00296FE4" w:rsidP="00097262">
      <w:pPr>
        <w:pStyle w:val="Ingetavstnd"/>
        <w:rPr>
          <w:b/>
          <w:sz w:val="24"/>
          <w:szCs w:val="24"/>
        </w:rPr>
      </w:pPr>
    </w:p>
    <w:p w:rsidR="00754AD4" w:rsidRPr="00296FE4" w:rsidRDefault="00754AD4" w:rsidP="00097262">
      <w:pPr>
        <w:pStyle w:val="Ingetavstnd"/>
        <w:rPr>
          <w:sz w:val="24"/>
          <w:szCs w:val="24"/>
        </w:rPr>
      </w:pPr>
      <w:r w:rsidRPr="00296FE4">
        <w:rPr>
          <w:b/>
          <w:sz w:val="24"/>
          <w:szCs w:val="24"/>
        </w:rPr>
        <w:t>Systemisk utredning</w:t>
      </w:r>
      <w:r w:rsidR="00296FE4">
        <w:rPr>
          <w:b/>
          <w:sz w:val="24"/>
          <w:szCs w:val="24"/>
        </w:rPr>
        <w:t>:</w:t>
      </w:r>
      <w:r w:rsidR="00182C87" w:rsidRPr="00296FE4">
        <w:rPr>
          <w:sz w:val="24"/>
          <w:szCs w:val="24"/>
        </w:rPr>
        <w:tab/>
      </w:r>
    </w:p>
    <w:p w:rsidR="002E3819" w:rsidRPr="00296FE4" w:rsidRDefault="00296FE4" w:rsidP="00296FE4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>-</w:t>
      </w:r>
      <w:r>
        <w:rPr>
          <w:sz w:val="24"/>
          <w:szCs w:val="24"/>
        </w:rPr>
        <w:t xml:space="preserve"> Blodprov</w:t>
      </w:r>
      <w:r w:rsidR="00754AD4" w:rsidRPr="00296FE4">
        <w:rPr>
          <w:sz w:val="24"/>
          <w:szCs w:val="24"/>
        </w:rPr>
        <w:t xml:space="preserve"> </w:t>
      </w:r>
      <w:r w:rsidR="002E3819" w:rsidRPr="00296FE4">
        <w:rPr>
          <w:sz w:val="24"/>
          <w:szCs w:val="24"/>
        </w:rPr>
        <w:tab/>
      </w:r>
      <w:r w:rsidR="00097262" w:rsidRPr="00296FE4">
        <w:rPr>
          <w:sz w:val="24"/>
          <w:szCs w:val="24"/>
        </w:rPr>
        <w:tab/>
      </w:r>
      <w:r w:rsidR="00754AD4" w:rsidRPr="00296FE4">
        <w:rPr>
          <w:sz w:val="24"/>
          <w:szCs w:val="24"/>
        </w:rPr>
        <w:t xml:space="preserve">Hb, </w:t>
      </w:r>
      <w:r w:rsidR="00EE1A48" w:rsidRPr="00296FE4">
        <w:rPr>
          <w:sz w:val="24"/>
          <w:szCs w:val="24"/>
        </w:rPr>
        <w:t>V</w:t>
      </w:r>
      <w:r w:rsidR="00754AD4" w:rsidRPr="00296FE4">
        <w:rPr>
          <w:sz w:val="24"/>
          <w:szCs w:val="24"/>
        </w:rPr>
        <w:t xml:space="preserve">ita </w:t>
      </w:r>
      <w:proofErr w:type="spellStart"/>
      <w:r w:rsidR="00754AD4" w:rsidRPr="00296FE4">
        <w:rPr>
          <w:sz w:val="24"/>
          <w:szCs w:val="24"/>
        </w:rPr>
        <w:t>diff</w:t>
      </w:r>
      <w:proofErr w:type="spellEnd"/>
      <w:r w:rsidR="00754AD4" w:rsidRPr="00296FE4">
        <w:rPr>
          <w:sz w:val="24"/>
          <w:szCs w:val="24"/>
        </w:rPr>
        <w:t xml:space="preserve">, </w:t>
      </w:r>
      <w:proofErr w:type="spellStart"/>
      <w:r w:rsidR="00EE1A48" w:rsidRPr="00296FE4">
        <w:rPr>
          <w:sz w:val="24"/>
          <w:szCs w:val="24"/>
        </w:rPr>
        <w:t>T</w:t>
      </w:r>
      <w:r w:rsidR="00754AD4" w:rsidRPr="00296FE4">
        <w:rPr>
          <w:sz w:val="24"/>
          <w:szCs w:val="24"/>
        </w:rPr>
        <w:t>rc</w:t>
      </w:r>
      <w:proofErr w:type="spellEnd"/>
      <w:r w:rsidR="00754AD4" w:rsidRPr="00296FE4">
        <w:rPr>
          <w:sz w:val="24"/>
          <w:szCs w:val="24"/>
        </w:rPr>
        <w:t xml:space="preserve">, ASAT/ALAT, </w:t>
      </w:r>
      <w:proofErr w:type="spellStart"/>
      <w:r w:rsidR="00EE1A48" w:rsidRPr="00296FE4">
        <w:rPr>
          <w:sz w:val="24"/>
          <w:szCs w:val="24"/>
        </w:rPr>
        <w:t>A</w:t>
      </w:r>
      <w:r w:rsidR="00754AD4" w:rsidRPr="00296FE4">
        <w:rPr>
          <w:sz w:val="24"/>
          <w:szCs w:val="24"/>
        </w:rPr>
        <w:t>lb</w:t>
      </w:r>
      <w:proofErr w:type="spellEnd"/>
      <w:r w:rsidR="00754AD4" w:rsidRPr="00296FE4">
        <w:rPr>
          <w:sz w:val="24"/>
          <w:szCs w:val="24"/>
        </w:rPr>
        <w:t xml:space="preserve">, </w:t>
      </w:r>
      <w:proofErr w:type="spellStart"/>
      <w:r w:rsidR="00EE1A48" w:rsidRPr="00296FE4">
        <w:rPr>
          <w:sz w:val="24"/>
          <w:szCs w:val="24"/>
        </w:rPr>
        <w:t>K</w:t>
      </w:r>
      <w:r w:rsidR="00754AD4" w:rsidRPr="00296FE4">
        <w:rPr>
          <w:sz w:val="24"/>
          <w:szCs w:val="24"/>
        </w:rPr>
        <w:t>rea</w:t>
      </w:r>
      <w:proofErr w:type="spellEnd"/>
      <w:r w:rsidR="00754AD4" w:rsidRPr="00296FE4">
        <w:rPr>
          <w:sz w:val="24"/>
          <w:szCs w:val="24"/>
        </w:rPr>
        <w:t xml:space="preserve">, SR, CRP, TG, </w:t>
      </w:r>
      <w:r w:rsidR="00EE1A48" w:rsidRPr="00296FE4">
        <w:rPr>
          <w:sz w:val="24"/>
          <w:szCs w:val="24"/>
        </w:rPr>
        <w:t>K</w:t>
      </w:r>
      <w:r w:rsidR="00754AD4" w:rsidRPr="00296FE4">
        <w:rPr>
          <w:sz w:val="24"/>
          <w:szCs w:val="24"/>
        </w:rPr>
        <w:t xml:space="preserve">ol, </w:t>
      </w:r>
      <w:proofErr w:type="spellStart"/>
      <w:r w:rsidR="00754AD4" w:rsidRPr="00296FE4">
        <w:rPr>
          <w:sz w:val="24"/>
          <w:szCs w:val="24"/>
        </w:rPr>
        <w:t>Glc</w:t>
      </w:r>
      <w:proofErr w:type="spellEnd"/>
      <w:r w:rsidR="002E3819" w:rsidRPr="00296FE4">
        <w:rPr>
          <w:sz w:val="24"/>
          <w:szCs w:val="24"/>
        </w:rPr>
        <w:t>,</w:t>
      </w:r>
    </w:p>
    <w:p w:rsidR="00754AD4" w:rsidRPr="00296FE4" w:rsidRDefault="00EE1A48" w:rsidP="00097262">
      <w:pPr>
        <w:pStyle w:val="Ingetavstnd"/>
        <w:ind w:left="1304" w:firstLine="1304"/>
        <w:rPr>
          <w:sz w:val="24"/>
          <w:szCs w:val="24"/>
        </w:rPr>
      </w:pPr>
      <w:r w:rsidRPr="00296FE4">
        <w:rPr>
          <w:sz w:val="24"/>
          <w:szCs w:val="24"/>
        </w:rPr>
        <w:t>P-</w:t>
      </w:r>
      <w:proofErr w:type="spellStart"/>
      <w:r w:rsidR="00182C87" w:rsidRPr="00296FE4">
        <w:rPr>
          <w:sz w:val="24"/>
          <w:szCs w:val="24"/>
        </w:rPr>
        <w:t>el</w:t>
      </w:r>
      <w:r w:rsidR="00754AD4" w:rsidRPr="00296FE4">
        <w:rPr>
          <w:sz w:val="24"/>
          <w:szCs w:val="24"/>
        </w:rPr>
        <w:t>fores</w:t>
      </w:r>
      <w:proofErr w:type="spellEnd"/>
      <w:r w:rsidR="00754AD4" w:rsidRPr="00296FE4">
        <w:rPr>
          <w:sz w:val="24"/>
          <w:szCs w:val="24"/>
        </w:rPr>
        <w:t>, komplement</w:t>
      </w:r>
      <w:r w:rsidR="00097262" w:rsidRPr="00296FE4">
        <w:rPr>
          <w:sz w:val="24"/>
          <w:szCs w:val="24"/>
        </w:rPr>
        <w:t xml:space="preserve">. </w:t>
      </w:r>
    </w:p>
    <w:p w:rsidR="00F90CB3" w:rsidRPr="00296FE4" w:rsidRDefault="00296FE4" w:rsidP="00F90CB3">
      <w:pPr>
        <w:pStyle w:val="Ingetavstnd"/>
        <w:ind w:left="2608" w:hanging="26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CB3" w:rsidRPr="00296FE4">
        <w:rPr>
          <w:sz w:val="24"/>
          <w:szCs w:val="24"/>
        </w:rPr>
        <w:t>CT buk/thorax/</w:t>
      </w:r>
      <w:proofErr w:type="spellStart"/>
      <w:r w:rsidR="00F90CB3" w:rsidRPr="00296FE4">
        <w:rPr>
          <w:sz w:val="24"/>
          <w:szCs w:val="24"/>
        </w:rPr>
        <w:t>rörben</w:t>
      </w:r>
      <w:proofErr w:type="spellEnd"/>
      <w:r w:rsidR="00754AD4" w:rsidRPr="00296FE4">
        <w:rPr>
          <w:sz w:val="24"/>
          <w:szCs w:val="24"/>
        </w:rPr>
        <w:tab/>
      </w:r>
      <w:r w:rsidR="00F90CB3" w:rsidRPr="00296FE4">
        <w:rPr>
          <w:sz w:val="24"/>
          <w:szCs w:val="24"/>
        </w:rPr>
        <w:t xml:space="preserve">Buk: Fråga efter </w:t>
      </w:r>
      <w:proofErr w:type="spellStart"/>
      <w:r w:rsidR="00F90CB3" w:rsidRPr="00296FE4">
        <w:rPr>
          <w:sz w:val="24"/>
          <w:szCs w:val="24"/>
        </w:rPr>
        <w:t>hepatosplenomegali</w:t>
      </w:r>
      <w:proofErr w:type="spellEnd"/>
      <w:r w:rsidR="00F90CB3" w:rsidRPr="00296FE4">
        <w:rPr>
          <w:sz w:val="24"/>
          <w:szCs w:val="24"/>
        </w:rPr>
        <w:t xml:space="preserve">, hydronefros </w:t>
      </w:r>
      <w:proofErr w:type="spellStart"/>
      <w:r w:rsidR="00F90CB3" w:rsidRPr="00296FE4">
        <w:rPr>
          <w:sz w:val="24"/>
          <w:szCs w:val="24"/>
        </w:rPr>
        <w:t>retroperitonealt</w:t>
      </w:r>
      <w:proofErr w:type="spellEnd"/>
      <w:r w:rsidR="00F90CB3" w:rsidRPr="00296FE4">
        <w:rPr>
          <w:sz w:val="24"/>
          <w:szCs w:val="24"/>
        </w:rPr>
        <w:t xml:space="preserve"> granulom.</w:t>
      </w:r>
    </w:p>
    <w:p w:rsidR="00754AD4" w:rsidRPr="00296FE4" w:rsidRDefault="00F90CB3" w:rsidP="00F90CB3">
      <w:pPr>
        <w:pStyle w:val="Ingetavstnd"/>
        <w:ind w:left="1304" w:firstLine="1304"/>
        <w:rPr>
          <w:sz w:val="24"/>
          <w:szCs w:val="24"/>
        </w:rPr>
      </w:pPr>
      <w:r w:rsidRPr="00296FE4">
        <w:rPr>
          <w:sz w:val="24"/>
          <w:szCs w:val="24"/>
        </w:rPr>
        <w:t xml:space="preserve">Thorax: </w:t>
      </w:r>
      <w:r w:rsidR="00754AD4" w:rsidRPr="00296FE4">
        <w:rPr>
          <w:sz w:val="24"/>
          <w:szCs w:val="24"/>
        </w:rPr>
        <w:t xml:space="preserve">Fråga efter </w:t>
      </w:r>
      <w:proofErr w:type="spellStart"/>
      <w:r w:rsidR="00754AD4" w:rsidRPr="00296FE4">
        <w:rPr>
          <w:sz w:val="24"/>
          <w:szCs w:val="24"/>
        </w:rPr>
        <w:t>insterstitiella</w:t>
      </w:r>
      <w:proofErr w:type="spellEnd"/>
      <w:r w:rsidR="00754AD4" w:rsidRPr="00296FE4">
        <w:rPr>
          <w:sz w:val="24"/>
          <w:szCs w:val="24"/>
        </w:rPr>
        <w:t xml:space="preserve"> parenkymförändringar – ECD?</w:t>
      </w:r>
    </w:p>
    <w:p w:rsidR="00754AD4" w:rsidRPr="00296FE4" w:rsidRDefault="00F90CB3" w:rsidP="00097262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ab/>
      </w:r>
      <w:r w:rsidR="00754AD4" w:rsidRPr="00296FE4">
        <w:rPr>
          <w:sz w:val="24"/>
          <w:szCs w:val="24"/>
        </w:rPr>
        <w:tab/>
      </w:r>
      <w:proofErr w:type="spellStart"/>
      <w:r w:rsidRPr="00296FE4">
        <w:rPr>
          <w:sz w:val="24"/>
          <w:szCs w:val="24"/>
        </w:rPr>
        <w:t>Rörben</w:t>
      </w:r>
      <w:proofErr w:type="spellEnd"/>
      <w:r w:rsidRPr="00296FE4">
        <w:rPr>
          <w:sz w:val="24"/>
          <w:szCs w:val="24"/>
        </w:rPr>
        <w:t xml:space="preserve">: </w:t>
      </w:r>
      <w:r w:rsidR="00754AD4" w:rsidRPr="00296FE4">
        <w:rPr>
          <w:sz w:val="24"/>
          <w:szCs w:val="24"/>
        </w:rPr>
        <w:t>Skleros</w:t>
      </w:r>
      <w:r w:rsidRPr="00296FE4">
        <w:rPr>
          <w:sz w:val="24"/>
          <w:szCs w:val="24"/>
        </w:rPr>
        <w:t xml:space="preserve"> </w:t>
      </w:r>
      <w:r w:rsidR="00EE1A48" w:rsidRPr="00296FE4">
        <w:rPr>
          <w:sz w:val="24"/>
          <w:szCs w:val="24"/>
        </w:rPr>
        <w:t xml:space="preserve">som vid </w:t>
      </w:r>
      <w:r w:rsidR="00754AD4" w:rsidRPr="00296FE4">
        <w:rPr>
          <w:sz w:val="24"/>
          <w:szCs w:val="24"/>
        </w:rPr>
        <w:t>ECD?</w:t>
      </w:r>
    </w:p>
    <w:p w:rsidR="00754AD4" w:rsidRPr="00296FE4" w:rsidRDefault="00296FE4" w:rsidP="0009726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4AD4" w:rsidRPr="00296FE4">
        <w:rPr>
          <w:sz w:val="24"/>
          <w:szCs w:val="24"/>
        </w:rPr>
        <w:t>CT-</w:t>
      </w:r>
      <w:proofErr w:type="spellStart"/>
      <w:r w:rsidR="00754AD4" w:rsidRPr="00296FE4">
        <w:rPr>
          <w:sz w:val="24"/>
          <w:szCs w:val="24"/>
        </w:rPr>
        <w:t>orbit</w:t>
      </w:r>
      <w:r>
        <w:rPr>
          <w:sz w:val="24"/>
          <w:szCs w:val="24"/>
        </w:rPr>
        <w:t>a</w:t>
      </w:r>
      <w:proofErr w:type="spellEnd"/>
      <w:r w:rsidR="00754AD4" w:rsidRPr="00296FE4">
        <w:rPr>
          <w:sz w:val="24"/>
          <w:szCs w:val="24"/>
        </w:rPr>
        <w:tab/>
      </w:r>
      <w:r w:rsidR="00097262" w:rsidRPr="00296FE4">
        <w:rPr>
          <w:sz w:val="24"/>
          <w:szCs w:val="24"/>
        </w:rPr>
        <w:tab/>
      </w:r>
      <w:r w:rsidR="00754AD4" w:rsidRPr="00296FE4">
        <w:rPr>
          <w:sz w:val="24"/>
          <w:szCs w:val="24"/>
        </w:rPr>
        <w:t xml:space="preserve">Om ögonstatus talar för </w:t>
      </w:r>
      <w:proofErr w:type="spellStart"/>
      <w:r w:rsidR="00754AD4" w:rsidRPr="00296FE4">
        <w:rPr>
          <w:sz w:val="24"/>
          <w:szCs w:val="24"/>
        </w:rPr>
        <w:t>orbitalt</w:t>
      </w:r>
      <w:proofErr w:type="spellEnd"/>
      <w:r w:rsidR="00754AD4" w:rsidRPr="00296FE4">
        <w:rPr>
          <w:sz w:val="24"/>
          <w:szCs w:val="24"/>
        </w:rPr>
        <w:t xml:space="preserve"> engagemang</w:t>
      </w:r>
      <w:r w:rsidR="00182C87" w:rsidRPr="00296FE4">
        <w:rPr>
          <w:sz w:val="24"/>
          <w:szCs w:val="24"/>
        </w:rPr>
        <w:t>.</w:t>
      </w:r>
    </w:p>
    <w:p w:rsidR="00754AD4" w:rsidRPr="00296FE4" w:rsidRDefault="00296FE4" w:rsidP="0009726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4AD4" w:rsidRPr="00296FE4">
        <w:rPr>
          <w:sz w:val="24"/>
          <w:szCs w:val="24"/>
        </w:rPr>
        <w:t xml:space="preserve">Lymfkörtelstatus </w:t>
      </w:r>
      <w:r w:rsidR="00CC3E5E" w:rsidRPr="00296FE4">
        <w:rPr>
          <w:sz w:val="24"/>
          <w:szCs w:val="24"/>
        </w:rPr>
        <w:tab/>
      </w:r>
      <w:proofErr w:type="spellStart"/>
      <w:r w:rsidR="00754AD4" w:rsidRPr="00296FE4">
        <w:rPr>
          <w:sz w:val="24"/>
          <w:szCs w:val="24"/>
        </w:rPr>
        <w:t>Preaurikulärt</w:t>
      </w:r>
      <w:proofErr w:type="spellEnd"/>
      <w:r w:rsidR="00754AD4" w:rsidRPr="00296FE4">
        <w:rPr>
          <w:sz w:val="24"/>
          <w:szCs w:val="24"/>
        </w:rPr>
        <w:t xml:space="preserve">, </w:t>
      </w:r>
      <w:proofErr w:type="spellStart"/>
      <w:r w:rsidR="00754AD4" w:rsidRPr="00296FE4">
        <w:rPr>
          <w:sz w:val="24"/>
          <w:szCs w:val="24"/>
        </w:rPr>
        <w:t>submandibulärt</w:t>
      </w:r>
      <w:proofErr w:type="spellEnd"/>
      <w:r w:rsidR="00754AD4" w:rsidRPr="00296FE4">
        <w:rPr>
          <w:sz w:val="24"/>
          <w:szCs w:val="24"/>
        </w:rPr>
        <w:t xml:space="preserve"> och på halsen.</w:t>
      </w:r>
      <w:r w:rsidR="00754AD4" w:rsidRPr="00296FE4">
        <w:rPr>
          <w:sz w:val="24"/>
          <w:szCs w:val="24"/>
        </w:rPr>
        <w:tab/>
      </w:r>
    </w:p>
    <w:p w:rsidR="00097262" w:rsidRPr="00296FE4" w:rsidRDefault="00097262" w:rsidP="00097262">
      <w:pPr>
        <w:pStyle w:val="Ingetavstnd"/>
        <w:rPr>
          <w:sz w:val="24"/>
          <w:szCs w:val="24"/>
        </w:rPr>
      </w:pPr>
    </w:p>
    <w:p w:rsidR="00296FE4" w:rsidRDefault="00296FE4" w:rsidP="00097262">
      <w:pPr>
        <w:pStyle w:val="Ingetavstnd"/>
        <w:rPr>
          <w:b/>
          <w:sz w:val="24"/>
          <w:szCs w:val="24"/>
        </w:rPr>
      </w:pPr>
    </w:p>
    <w:p w:rsidR="00754AD4" w:rsidRPr="00296FE4" w:rsidRDefault="00754AD4" w:rsidP="00097262">
      <w:pPr>
        <w:pStyle w:val="Ingetavstnd"/>
        <w:rPr>
          <w:b/>
          <w:sz w:val="24"/>
          <w:szCs w:val="24"/>
        </w:rPr>
      </w:pPr>
      <w:r w:rsidRPr="00296FE4">
        <w:rPr>
          <w:b/>
          <w:sz w:val="24"/>
          <w:szCs w:val="24"/>
        </w:rPr>
        <w:t>Behandling</w:t>
      </w:r>
      <w:r w:rsidR="00296FE4">
        <w:rPr>
          <w:b/>
          <w:sz w:val="24"/>
          <w:szCs w:val="24"/>
        </w:rPr>
        <w:t>:</w:t>
      </w:r>
    </w:p>
    <w:p w:rsidR="00296FE4" w:rsidRPr="00296FE4" w:rsidRDefault="00754AD4" w:rsidP="00097262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 xml:space="preserve">Idag finns ingen </w:t>
      </w:r>
      <w:r w:rsidR="00A467E8" w:rsidRPr="00296FE4">
        <w:rPr>
          <w:sz w:val="24"/>
          <w:szCs w:val="24"/>
        </w:rPr>
        <w:t xml:space="preserve">säkert </w:t>
      </w:r>
      <w:r w:rsidRPr="00296FE4">
        <w:rPr>
          <w:sz w:val="24"/>
          <w:szCs w:val="24"/>
        </w:rPr>
        <w:t xml:space="preserve">botande behandling av </w:t>
      </w:r>
      <w:proofErr w:type="spellStart"/>
      <w:r w:rsidRPr="00296FE4">
        <w:rPr>
          <w:sz w:val="24"/>
          <w:szCs w:val="24"/>
        </w:rPr>
        <w:t>orbitalt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xantogranulom</w:t>
      </w:r>
      <w:proofErr w:type="spellEnd"/>
      <w:r w:rsidRPr="00296FE4">
        <w:rPr>
          <w:sz w:val="24"/>
          <w:szCs w:val="24"/>
        </w:rPr>
        <w:t xml:space="preserve">. </w:t>
      </w:r>
    </w:p>
    <w:p w:rsidR="00A4312B" w:rsidRPr="00296FE4" w:rsidRDefault="00A4312B" w:rsidP="009227B5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 xml:space="preserve">Erfarenhet från patientfall, visar god effekt av </w:t>
      </w:r>
      <w:proofErr w:type="spellStart"/>
      <w:r w:rsidRPr="00296FE4">
        <w:rPr>
          <w:sz w:val="24"/>
          <w:szCs w:val="24"/>
        </w:rPr>
        <w:t>rituximab</w:t>
      </w:r>
      <w:proofErr w:type="spellEnd"/>
      <w:r w:rsidRPr="00296FE4">
        <w:rPr>
          <w:sz w:val="24"/>
          <w:szCs w:val="24"/>
        </w:rPr>
        <w:t>-behandling och man bör numera överväga denna</w:t>
      </w:r>
      <w:r w:rsidR="00296FE4">
        <w:rPr>
          <w:sz w:val="24"/>
          <w:szCs w:val="24"/>
        </w:rPr>
        <w:t xml:space="preserve"> behandling som förstahandsval. Dosering och duration varierar i litteraturen. En vanlig dos är 1g vid två tillfällen med två veckors mellanrum. Därefter utvärderas effekten som kan dröja 2-3 månader. </w:t>
      </w:r>
      <w:r w:rsidRPr="00296FE4">
        <w:rPr>
          <w:sz w:val="24"/>
          <w:szCs w:val="24"/>
        </w:rPr>
        <w:t>(Läs mer</w:t>
      </w:r>
      <w:r w:rsidR="0085030D">
        <w:rPr>
          <w:sz w:val="24"/>
          <w:szCs w:val="24"/>
        </w:rPr>
        <w:t xml:space="preserve"> om </w:t>
      </w:r>
      <w:proofErr w:type="spellStart"/>
      <w:r w:rsidR="0085030D">
        <w:rPr>
          <w:sz w:val="24"/>
          <w:szCs w:val="24"/>
        </w:rPr>
        <w:t>rituximab</w:t>
      </w:r>
      <w:proofErr w:type="spellEnd"/>
      <w:r w:rsidRPr="00296FE4">
        <w:rPr>
          <w:sz w:val="28"/>
          <w:szCs w:val="24"/>
        </w:rPr>
        <w:t>:</w:t>
      </w:r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Ophthalmology</w:t>
      </w:r>
      <w:proofErr w:type="spellEnd"/>
      <w:r w:rsidRPr="00296FE4">
        <w:rPr>
          <w:sz w:val="24"/>
          <w:szCs w:val="24"/>
        </w:rPr>
        <w:t xml:space="preserve"> (2014) 121(8):1664-5, </w:t>
      </w:r>
      <w:proofErr w:type="spellStart"/>
      <w:r w:rsidRPr="00296FE4">
        <w:rPr>
          <w:sz w:val="24"/>
          <w:szCs w:val="24"/>
        </w:rPr>
        <w:t>Rheumatology</w:t>
      </w:r>
      <w:proofErr w:type="spellEnd"/>
      <w:r w:rsidRPr="00296FE4">
        <w:rPr>
          <w:sz w:val="24"/>
          <w:szCs w:val="24"/>
        </w:rPr>
        <w:t xml:space="preserve"> International (2020) 40:671-677, </w:t>
      </w:r>
      <w:proofErr w:type="spellStart"/>
      <w:r w:rsidRPr="00296FE4">
        <w:rPr>
          <w:sz w:val="24"/>
          <w:szCs w:val="24"/>
        </w:rPr>
        <w:t>Ophthal</w:t>
      </w:r>
      <w:proofErr w:type="spellEnd"/>
      <w:r w:rsidRPr="00296FE4">
        <w:rPr>
          <w:sz w:val="24"/>
          <w:szCs w:val="24"/>
        </w:rPr>
        <w:t xml:space="preserve"> Plast </w:t>
      </w:r>
      <w:proofErr w:type="spellStart"/>
      <w:r w:rsidRPr="00296FE4">
        <w:rPr>
          <w:sz w:val="24"/>
          <w:szCs w:val="24"/>
        </w:rPr>
        <w:t>Reconstr</w:t>
      </w:r>
      <w:proofErr w:type="spellEnd"/>
      <w:r w:rsidRPr="00296FE4">
        <w:rPr>
          <w:sz w:val="24"/>
          <w:szCs w:val="24"/>
        </w:rPr>
        <w:t xml:space="preserve"> </w:t>
      </w:r>
      <w:proofErr w:type="spellStart"/>
      <w:r w:rsidRPr="00296FE4">
        <w:rPr>
          <w:sz w:val="24"/>
          <w:szCs w:val="24"/>
        </w:rPr>
        <w:t>Surg</w:t>
      </w:r>
      <w:proofErr w:type="spellEnd"/>
      <w:r w:rsidRPr="00296FE4">
        <w:rPr>
          <w:sz w:val="24"/>
          <w:szCs w:val="24"/>
        </w:rPr>
        <w:t xml:space="preserve"> (2018) 34(1):24-27, </w:t>
      </w:r>
      <w:proofErr w:type="spellStart"/>
      <w:r w:rsidRPr="00296FE4">
        <w:rPr>
          <w:sz w:val="24"/>
          <w:szCs w:val="24"/>
        </w:rPr>
        <w:t>Can</w:t>
      </w:r>
      <w:proofErr w:type="spellEnd"/>
      <w:r w:rsidRPr="00296FE4">
        <w:rPr>
          <w:sz w:val="24"/>
          <w:szCs w:val="24"/>
        </w:rPr>
        <w:t xml:space="preserve"> J </w:t>
      </w:r>
      <w:proofErr w:type="spellStart"/>
      <w:r w:rsidRPr="00296FE4">
        <w:rPr>
          <w:sz w:val="24"/>
          <w:szCs w:val="24"/>
        </w:rPr>
        <w:t>Ophthalmol</w:t>
      </w:r>
      <w:proofErr w:type="spellEnd"/>
      <w:r w:rsidRPr="00296FE4">
        <w:rPr>
          <w:sz w:val="24"/>
          <w:szCs w:val="24"/>
        </w:rPr>
        <w:t xml:space="preserve"> (</w:t>
      </w:r>
      <w:r w:rsidRPr="00F87BB7">
        <w:rPr>
          <w:rFonts w:ascii="Arial" w:hAnsi="Arial" w:cs="Arial"/>
          <w:sz w:val="20"/>
          <w:szCs w:val="18"/>
        </w:rPr>
        <w:t>2019) 54(3):115-118</w:t>
      </w:r>
      <w:r w:rsidRPr="00296FE4">
        <w:rPr>
          <w:sz w:val="24"/>
          <w:szCs w:val="24"/>
        </w:rPr>
        <w:t>)</w:t>
      </w:r>
    </w:p>
    <w:p w:rsidR="00296FE4" w:rsidRDefault="00296FE4" w:rsidP="009227B5">
      <w:pPr>
        <w:pStyle w:val="Ingetavstnd"/>
        <w:rPr>
          <w:sz w:val="24"/>
          <w:szCs w:val="24"/>
        </w:rPr>
      </w:pPr>
    </w:p>
    <w:p w:rsidR="00296FE4" w:rsidRDefault="00296FE4" w:rsidP="009227B5">
      <w:pPr>
        <w:pStyle w:val="Ingetavstnd"/>
        <w:rPr>
          <w:sz w:val="24"/>
          <w:szCs w:val="24"/>
        </w:rPr>
      </w:pPr>
    </w:p>
    <w:p w:rsidR="00296FE4" w:rsidRDefault="00296FE4" w:rsidP="009227B5">
      <w:pPr>
        <w:pStyle w:val="Ingetavstnd"/>
        <w:rPr>
          <w:sz w:val="24"/>
          <w:szCs w:val="24"/>
        </w:rPr>
      </w:pPr>
    </w:p>
    <w:p w:rsidR="00296FE4" w:rsidRDefault="00296FE4" w:rsidP="009227B5">
      <w:pPr>
        <w:pStyle w:val="Ingetavstnd"/>
        <w:rPr>
          <w:sz w:val="24"/>
          <w:szCs w:val="24"/>
        </w:rPr>
      </w:pPr>
    </w:p>
    <w:p w:rsidR="00296FE4" w:rsidRDefault="000E5710" w:rsidP="009227B5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 xml:space="preserve">AOX </w:t>
      </w:r>
      <w:r w:rsidR="00A4312B" w:rsidRPr="00296FE4">
        <w:rPr>
          <w:sz w:val="24"/>
          <w:szCs w:val="24"/>
        </w:rPr>
        <w:t>och</w:t>
      </w:r>
      <w:r w:rsidR="00754AD4" w:rsidRPr="00296FE4">
        <w:rPr>
          <w:sz w:val="24"/>
          <w:szCs w:val="24"/>
        </w:rPr>
        <w:t xml:space="preserve"> AAPOX </w:t>
      </w:r>
      <w:r w:rsidR="00A4312B" w:rsidRPr="00296FE4">
        <w:rPr>
          <w:sz w:val="24"/>
          <w:szCs w:val="24"/>
        </w:rPr>
        <w:t xml:space="preserve">svarar ofta på </w:t>
      </w:r>
      <w:r w:rsidR="009227B5" w:rsidRPr="00296FE4">
        <w:rPr>
          <w:sz w:val="24"/>
          <w:szCs w:val="24"/>
        </w:rPr>
        <w:t>kortisonbehandling peroralt (</w:t>
      </w:r>
      <w:proofErr w:type="spellStart"/>
      <w:r w:rsidR="009227B5" w:rsidRPr="00296FE4">
        <w:rPr>
          <w:sz w:val="24"/>
          <w:szCs w:val="24"/>
        </w:rPr>
        <w:t>Prednisolon</w:t>
      </w:r>
      <w:proofErr w:type="spellEnd"/>
      <w:r w:rsidR="009227B5" w:rsidRPr="00296FE4">
        <w:rPr>
          <w:sz w:val="24"/>
          <w:szCs w:val="24"/>
        </w:rPr>
        <w:t xml:space="preserve"> </w:t>
      </w:r>
      <w:r w:rsidR="00F87BB7">
        <w:rPr>
          <w:sz w:val="24"/>
          <w:szCs w:val="24"/>
        </w:rPr>
        <w:t>initialt 30-40 mg, med</w:t>
      </w:r>
      <w:r w:rsidR="00296FE4">
        <w:rPr>
          <w:sz w:val="24"/>
          <w:szCs w:val="24"/>
        </w:rPr>
        <w:t xml:space="preserve"> nedtrappning under några veckor till underhållsdos på </w:t>
      </w:r>
      <w:r w:rsidR="009227B5" w:rsidRPr="00296FE4">
        <w:rPr>
          <w:sz w:val="24"/>
          <w:szCs w:val="24"/>
        </w:rPr>
        <w:t>2,5-5 mg/d)</w:t>
      </w:r>
      <w:r w:rsidR="00A4312B" w:rsidRPr="00296FE4">
        <w:rPr>
          <w:sz w:val="24"/>
          <w:szCs w:val="24"/>
        </w:rPr>
        <w:t xml:space="preserve"> och</w:t>
      </w:r>
      <w:r w:rsidR="00083790" w:rsidRPr="00296FE4">
        <w:rPr>
          <w:sz w:val="24"/>
          <w:szCs w:val="24"/>
        </w:rPr>
        <w:t xml:space="preserve"> </w:t>
      </w:r>
      <w:r w:rsidR="009227B5" w:rsidRPr="00296FE4">
        <w:rPr>
          <w:sz w:val="24"/>
          <w:szCs w:val="24"/>
        </w:rPr>
        <w:t>lokala kortisoninjektioner (</w:t>
      </w:r>
      <w:proofErr w:type="spellStart"/>
      <w:r w:rsidR="009227B5" w:rsidRPr="00296FE4">
        <w:rPr>
          <w:sz w:val="24"/>
          <w:szCs w:val="24"/>
        </w:rPr>
        <w:t>Kenakort</w:t>
      </w:r>
      <w:proofErr w:type="spellEnd"/>
      <w:r w:rsidR="009227B5" w:rsidRPr="00296FE4">
        <w:rPr>
          <w:sz w:val="24"/>
          <w:szCs w:val="24"/>
        </w:rPr>
        <w:t xml:space="preserve"> 40 mg/ml)</w:t>
      </w:r>
      <w:r w:rsidR="00A4312B" w:rsidRPr="00296FE4">
        <w:rPr>
          <w:sz w:val="24"/>
          <w:szCs w:val="24"/>
        </w:rPr>
        <w:t>.</w:t>
      </w:r>
    </w:p>
    <w:p w:rsidR="00296FE4" w:rsidRDefault="00296FE4" w:rsidP="009227B5">
      <w:pPr>
        <w:pStyle w:val="Ingetavstnd"/>
        <w:rPr>
          <w:sz w:val="24"/>
          <w:szCs w:val="24"/>
        </w:rPr>
      </w:pPr>
    </w:p>
    <w:p w:rsidR="009227B5" w:rsidRPr="00296FE4" w:rsidRDefault="00A4312B" w:rsidP="009227B5">
      <w:pPr>
        <w:pStyle w:val="Ingetavstnd"/>
        <w:rPr>
          <w:sz w:val="22"/>
          <w:szCs w:val="24"/>
        </w:rPr>
      </w:pPr>
      <w:proofErr w:type="spellStart"/>
      <w:r w:rsidRPr="00296FE4">
        <w:rPr>
          <w:sz w:val="24"/>
          <w:szCs w:val="24"/>
        </w:rPr>
        <w:t>D</w:t>
      </w:r>
      <w:r w:rsidR="007866BB" w:rsidRPr="00296FE4">
        <w:rPr>
          <w:sz w:val="24"/>
          <w:szCs w:val="24"/>
        </w:rPr>
        <w:t>ebulkande</w:t>
      </w:r>
      <w:proofErr w:type="spellEnd"/>
      <w:r w:rsidR="007866BB" w:rsidRPr="00296FE4">
        <w:rPr>
          <w:sz w:val="24"/>
          <w:szCs w:val="24"/>
        </w:rPr>
        <w:t xml:space="preserve"> </w:t>
      </w:r>
      <w:r w:rsidR="00754AD4" w:rsidRPr="00296FE4">
        <w:rPr>
          <w:sz w:val="24"/>
          <w:szCs w:val="24"/>
        </w:rPr>
        <w:t>excision</w:t>
      </w:r>
      <w:r w:rsidRPr="00296FE4">
        <w:rPr>
          <w:sz w:val="24"/>
          <w:szCs w:val="24"/>
        </w:rPr>
        <w:t xml:space="preserve"> kan också bli aktuellt</w:t>
      </w:r>
      <w:r w:rsidR="00296FE4">
        <w:rPr>
          <w:sz w:val="24"/>
          <w:szCs w:val="24"/>
        </w:rPr>
        <w:t>, vid tillväxt trots medicinsk behandling</w:t>
      </w:r>
      <w:r w:rsidR="009227B5" w:rsidRPr="00296FE4">
        <w:rPr>
          <w:sz w:val="24"/>
          <w:szCs w:val="24"/>
        </w:rPr>
        <w:t xml:space="preserve">. För att undvika försämring i samband med kirurgi, insätts </w:t>
      </w:r>
      <w:proofErr w:type="spellStart"/>
      <w:r w:rsidR="009227B5" w:rsidRPr="00296FE4">
        <w:rPr>
          <w:sz w:val="24"/>
          <w:szCs w:val="24"/>
        </w:rPr>
        <w:t>Prednisolon</w:t>
      </w:r>
      <w:proofErr w:type="spellEnd"/>
      <w:r w:rsidR="009227B5" w:rsidRPr="00296FE4">
        <w:rPr>
          <w:sz w:val="24"/>
          <w:szCs w:val="24"/>
        </w:rPr>
        <w:t xml:space="preserve"> 30 mg postoperativt med uttappning under två veckor (30 mg </w:t>
      </w:r>
      <w:r w:rsidR="00B3201E" w:rsidRPr="00296FE4">
        <w:rPr>
          <w:sz w:val="24"/>
          <w:szCs w:val="24"/>
        </w:rPr>
        <w:t xml:space="preserve">i </w:t>
      </w:r>
      <w:r w:rsidR="009227B5" w:rsidRPr="00296FE4">
        <w:rPr>
          <w:sz w:val="24"/>
          <w:szCs w:val="24"/>
        </w:rPr>
        <w:t xml:space="preserve">3 dagar, 20 mg </w:t>
      </w:r>
      <w:r w:rsidR="00B3201E" w:rsidRPr="00296FE4">
        <w:rPr>
          <w:sz w:val="24"/>
          <w:szCs w:val="24"/>
        </w:rPr>
        <w:t xml:space="preserve">i </w:t>
      </w:r>
      <w:r w:rsidR="009227B5" w:rsidRPr="00296FE4">
        <w:rPr>
          <w:sz w:val="24"/>
          <w:szCs w:val="24"/>
        </w:rPr>
        <w:t xml:space="preserve">4 dagar och 10 mg </w:t>
      </w:r>
      <w:r w:rsidR="00B3201E" w:rsidRPr="00296FE4">
        <w:rPr>
          <w:sz w:val="24"/>
          <w:szCs w:val="24"/>
        </w:rPr>
        <w:t>i 7 dagar</w:t>
      </w:r>
      <w:r w:rsidR="009227B5" w:rsidRPr="00296FE4">
        <w:rPr>
          <w:sz w:val="24"/>
          <w:szCs w:val="24"/>
        </w:rPr>
        <w:t xml:space="preserve">). </w:t>
      </w:r>
    </w:p>
    <w:p w:rsidR="00296FE4" w:rsidRDefault="00296FE4" w:rsidP="00EE1A48">
      <w:pPr>
        <w:pStyle w:val="Ingetavstnd"/>
        <w:rPr>
          <w:sz w:val="24"/>
          <w:szCs w:val="24"/>
        </w:rPr>
      </w:pPr>
    </w:p>
    <w:p w:rsidR="00097262" w:rsidRDefault="00754AD4" w:rsidP="00EE1A48">
      <w:pPr>
        <w:pStyle w:val="Ingetavstnd"/>
        <w:rPr>
          <w:sz w:val="24"/>
          <w:szCs w:val="24"/>
        </w:rPr>
      </w:pPr>
      <w:r w:rsidRPr="00296FE4">
        <w:rPr>
          <w:sz w:val="24"/>
          <w:szCs w:val="24"/>
        </w:rPr>
        <w:t xml:space="preserve">Vid </w:t>
      </w:r>
      <w:r w:rsidR="000E5710" w:rsidRPr="00296FE4">
        <w:rPr>
          <w:sz w:val="24"/>
          <w:szCs w:val="24"/>
        </w:rPr>
        <w:t>NBX</w:t>
      </w:r>
      <w:r w:rsidRPr="00296FE4">
        <w:rPr>
          <w:sz w:val="24"/>
          <w:szCs w:val="24"/>
        </w:rPr>
        <w:t xml:space="preserve"> och ECD sköts behandlingen tillsammans med </w:t>
      </w:r>
      <w:r w:rsidR="002E3819" w:rsidRPr="00296FE4">
        <w:rPr>
          <w:sz w:val="24"/>
          <w:szCs w:val="24"/>
        </w:rPr>
        <w:t>internmedicin/</w:t>
      </w:r>
      <w:r w:rsidRPr="00296FE4">
        <w:rPr>
          <w:sz w:val="24"/>
          <w:szCs w:val="24"/>
        </w:rPr>
        <w:t xml:space="preserve">reumatolog och dermatolog. </w:t>
      </w:r>
    </w:p>
    <w:p w:rsidR="00426EBC" w:rsidRDefault="00426EBC" w:rsidP="00EE1A48">
      <w:pPr>
        <w:pStyle w:val="Ingetavstnd"/>
        <w:rPr>
          <w:sz w:val="24"/>
          <w:szCs w:val="24"/>
        </w:rPr>
      </w:pPr>
    </w:p>
    <w:p w:rsidR="00426EBC" w:rsidRPr="00296FE4" w:rsidRDefault="00426EBC" w:rsidP="00EE1A48">
      <w:pPr>
        <w:pStyle w:val="Ingetavstnd"/>
        <w:rPr>
          <w:rFonts w:ascii="Arial" w:hAnsi="Arial" w:cs="Arial"/>
          <w:sz w:val="20"/>
        </w:rPr>
      </w:pPr>
      <w:r>
        <w:rPr>
          <w:sz w:val="24"/>
          <w:szCs w:val="24"/>
        </w:rPr>
        <w:t>AOX</w:t>
      </w:r>
      <w:r w:rsidR="00F87BB7">
        <w:rPr>
          <w:sz w:val="24"/>
          <w:szCs w:val="24"/>
        </w:rPr>
        <w:t>/AAPOX</w:t>
      </w:r>
      <w:r>
        <w:rPr>
          <w:sz w:val="24"/>
          <w:szCs w:val="24"/>
        </w:rPr>
        <w:t xml:space="preserve"> uppföljning: remiss till VC för årlig kontroll av lymfkörtlar, blodstatus+LPKdiff</w:t>
      </w:r>
    </w:p>
    <w:sectPr w:rsidR="00426EBC" w:rsidRPr="00296F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AD4" w:rsidRDefault="00754AD4" w:rsidP="00754AD4">
      <w:pPr>
        <w:spacing w:line="240" w:lineRule="auto"/>
      </w:pPr>
      <w:r>
        <w:separator/>
      </w:r>
    </w:p>
  </w:endnote>
  <w:endnote w:type="continuationSeparator" w:id="0">
    <w:p w:rsidR="00754AD4" w:rsidRDefault="00754AD4" w:rsidP="0075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4CF" w:rsidRPr="00CF34CF" w:rsidRDefault="00CF34CF">
    <w:pPr>
      <w:pStyle w:val="Sidfot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 w:rsidR="00CE0430">
      <w:rPr>
        <w:sz w:val="22"/>
        <w:szCs w:val="22"/>
      </w:rPr>
      <w:t xml:space="preserve">Anna Nilsson, </w:t>
    </w:r>
    <w:r w:rsidR="000C7E8A">
      <w:rPr>
        <w:sz w:val="22"/>
        <w:szCs w:val="22"/>
      </w:rPr>
      <w:t>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AD4" w:rsidRDefault="00754AD4" w:rsidP="00754AD4">
      <w:pPr>
        <w:spacing w:line="240" w:lineRule="auto"/>
      </w:pPr>
      <w:r>
        <w:separator/>
      </w:r>
    </w:p>
  </w:footnote>
  <w:footnote w:type="continuationSeparator" w:id="0">
    <w:p w:rsidR="00754AD4" w:rsidRDefault="00754AD4" w:rsidP="0075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AD4" w:rsidRPr="00CF34CF" w:rsidRDefault="00754AD4">
    <w:pPr>
      <w:pStyle w:val="Sidhuvud"/>
    </w:pPr>
    <w:r w:rsidRPr="00B56C54">
      <w:rPr>
        <w:noProof/>
        <w:lang w:eastAsia="sv-SE"/>
      </w:rPr>
      <w:drawing>
        <wp:anchor distT="0" distB="0" distL="114300" distR="114300" simplePos="0" relativeHeight="251661312" behindDoc="1" locked="1" layoutInCell="1" allowOverlap="1" wp14:anchorId="14F72275" wp14:editId="67F19C1F">
          <wp:simplePos x="0" y="0"/>
          <wp:positionH relativeFrom="page">
            <wp:posOffset>223520</wp:posOffset>
          </wp:positionH>
          <wp:positionV relativeFrom="page">
            <wp:posOffset>629920</wp:posOffset>
          </wp:positionV>
          <wp:extent cx="723265" cy="683895"/>
          <wp:effectExtent l="0" t="0" r="635" b="190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053B0550" wp14:editId="444788A8">
          <wp:simplePos x="0" y="0"/>
          <wp:positionH relativeFrom="margin">
            <wp:align>center</wp:align>
          </wp:positionH>
          <wp:positionV relativeFrom="page">
            <wp:posOffset>96520</wp:posOffset>
          </wp:positionV>
          <wp:extent cx="7199630" cy="363220"/>
          <wp:effectExtent l="0" t="0" r="127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7EC"/>
    <w:multiLevelType w:val="hybridMultilevel"/>
    <w:tmpl w:val="7554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25E"/>
    <w:multiLevelType w:val="hybridMultilevel"/>
    <w:tmpl w:val="589819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D66"/>
    <w:multiLevelType w:val="hybridMultilevel"/>
    <w:tmpl w:val="18A003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1791"/>
    <w:multiLevelType w:val="hybridMultilevel"/>
    <w:tmpl w:val="2BA22F1C"/>
    <w:lvl w:ilvl="0" w:tplc="3CCE0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1F1D"/>
    <w:multiLevelType w:val="hybridMultilevel"/>
    <w:tmpl w:val="83C8F8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35239"/>
    <w:multiLevelType w:val="hybridMultilevel"/>
    <w:tmpl w:val="83780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45174"/>
    <w:multiLevelType w:val="hybridMultilevel"/>
    <w:tmpl w:val="C1A8E3A2"/>
    <w:lvl w:ilvl="0" w:tplc="4E2A0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D4"/>
    <w:rsid w:val="00083790"/>
    <w:rsid w:val="00097262"/>
    <w:rsid w:val="000C7E8A"/>
    <w:rsid w:val="000E5710"/>
    <w:rsid w:val="00182C87"/>
    <w:rsid w:val="00296FE4"/>
    <w:rsid w:val="002E3819"/>
    <w:rsid w:val="00426EBC"/>
    <w:rsid w:val="00510568"/>
    <w:rsid w:val="00556241"/>
    <w:rsid w:val="00754AD4"/>
    <w:rsid w:val="007866BB"/>
    <w:rsid w:val="0085030D"/>
    <w:rsid w:val="009227B5"/>
    <w:rsid w:val="009A2EFB"/>
    <w:rsid w:val="009D1A87"/>
    <w:rsid w:val="00A4312B"/>
    <w:rsid w:val="00A467E8"/>
    <w:rsid w:val="00B3201E"/>
    <w:rsid w:val="00C66C70"/>
    <w:rsid w:val="00CC3E5E"/>
    <w:rsid w:val="00CE0430"/>
    <w:rsid w:val="00CF34CF"/>
    <w:rsid w:val="00E24242"/>
    <w:rsid w:val="00EE1A48"/>
    <w:rsid w:val="00F177BF"/>
    <w:rsid w:val="00F87BB7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F5A98-18BE-4745-AF32-C220C00B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AD4"/>
    <w:pPr>
      <w:spacing w:after="0" w:line="500" w:lineRule="atLeast"/>
    </w:pPr>
    <w:rPr>
      <w:rFonts w:cs="Times New Roman"/>
      <w:sz w:val="40"/>
      <w:szCs w:val="20"/>
    </w:rPr>
  </w:style>
  <w:style w:type="paragraph" w:styleId="Rubrik1">
    <w:name w:val="heading 1"/>
    <w:basedOn w:val="Normal"/>
    <w:next w:val="Normal"/>
    <w:link w:val="Rubrik1Char"/>
    <w:qFormat/>
    <w:rsid w:val="00754AD4"/>
    <w:pPr>
      <w:keepNext/>
      <w:keepLines/>
      <w:widowControl w:val="0"/>
      <w:autoSpaceDE w:val="0"/>
      <w:autoSpaceDN w:val="0"/>
      <w:adjustRightInd w:val="0"/>
      <w:spacing w:after="680" w:line="840" w:lineRule="atLeast"/>
      <w:textAlignment w:val="center"/>
      <w:outlineLvl w:val="0"/>
    </w:pPr>
    <w:rPr>
      <w:rFonts w:ascii="Arial" w:eastAsiaTheme="majorEastAsia" w:hAnsi="Arial" w:cstheme="majorBidi"/>
      <w:b/>
      <w:bCs/>
      <w:color w:val="44546A" w:themeColor="text2"/>
      <w:sz w:val="7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54AD4"/>
    <w:rPr>
      <w:rFonts w:ascii="Arial" w:eastAsiaTheme="majorEastAsia" w:hAnsi="Arial" w:cstheme="majorBidi"/>
      <w:b/>
      <w:bCs/>
      <w:color w:val="44546A" w:themeColor="text2"/>
      <w:sz w:val="72"/>
      <w:szCs w:val="32"/>
    </w:rPr>
  </w:style>
  <w:style w:type="paragraph" w:styleId="Liststycke">
    <w:name w:val="List Paragraph"/>
    <w:basedOn w:val="Normal"/>
    <w:rsid w:val="00754AD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54AD4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AD4"/>
    <w:rPr>
      <w:rFonts w:cs="Times New Roman"/>
      <w:sz w:val="40"/>
      <w:szCs w:val="20"/>
    </w:rPr>
  </w:style>
  <w:style w:type="paragraph" w:styleId="Sidfot">
    <w:name w:val="footer"/>
    <w:basedOn w:val="Normal"/>
    <w:link w:val="SidfotChar"/>
    <w:uiPriority w:val="99"/>
    <w:unhideWhenUsed/>
    <w:rsid w:val="00754AD4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AD4"/>
    <w:rPr>
      <w:rFonts w:cs="Times New Roman"/>
      <w:sz w:val="40"/>
      <w:szCs w:val="20"/>
    </w:rPr>
  </w:style>
  <w:style w:type="paragraph" w:styleId="Ingetavstnd">
    <w:name w:val="No Spacing"/>
    <w:uiPriority w:val="1"/>
    <w:qFormat/>
    <w:rsid w:val="00097262"/>
    <w:pPr>
      <w:spacing w:after="0" w:line="240" w:lineRule="auto"/>
    </w:pPr>
    <w:rPr>
      <w:rFonts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S:t Eriks Ögonsjukhus AB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Nilsson</dc:creator>
  <cp:keywords/>
  <dc:description/>
  <cp:lastModifiedBy>Catharina Kuylenstierna</cp:lastModifiedBy>
  <cp:revision>2</cp:revision>
  <dcterms:created xsi:type="dcterms:W3CDTF">2022-05-31T09:08:00Z</dcterms:created>
  <dcterms:modified xsi:type="dcterms:W3CDTF">2022-05-31T09:08:00Z</dcterms:modified>
</cp:coreProperties>
</file>